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5AA2" w14:textId="36FC2040" w:rsidR="00160B7C" w:rsidRDefault="006B2A82" w:rsidP="00600933">
      <w:pPr>
        <w:pStyle w:val="Heading1"/>
      </w:pPr>
      <w:r>
        <w:t>RSSB d</w:t>
      </w:r>
      <w:r w:rsidR="006C2F96">
        <w:t>ocument categories</w:t>
      </w:r>
      <w:r w:rsidR="00600933">
        <w:t xml:space="preserve"> and types</w:t>
      </w:r>
      <w:r w:rsidR="008806AC">
        <w:t xml:space="preserve"> published in the </w:t>
      </w:r>
      <w:r>
        <w:t>s</w:t>
      </w:r>
      <w:r w:rsidR="008806AC">
        <w:t xml:space="preserve">tandards </w:t>
      </w:r>
      <w:r>
        <w:t>c</w:t>
      </w:r>
      <w:r w:rsidR="008806AC">
        <w:t>atalogue</w:t>
      </w:r>
    </w:p>
    <w:p w14:paraId="360CE7C5" w14:textId="016E1118" w:rsidR="00600933" w:rsidRDefault="00600933" w:rsidP="00600933">
      <w:pPr>
        <w:pStyle w:val="Body"/>
      </w:pPr>
      <w:bookmarkStart w:id="0" w:name="_Hlk55201571"/>
      <w:r>
        <w:t xml:space="preserve">Railway Group Standards (RGSs) and related </w:t>
      </w:r>
      <w:r w:rsidR="007D36F7">
        <w:t>documents</w:t>
      </w:r>
      <w:r>
        <w:t xml:space="preserve"> </w:t>
      </w:r>
      <w:r w:rsidR="007D36F7">
        <w:t xml:space="preserve">have unique identifiers and </w:t>
      </w:r>
      <w:r>
        <w:t>are categor</w:t>
      </w:r>
      <w:r w:rsidR="007D36F7">
        <w:t xml:space="preserve">ised by </w:t>
      </w:r>
      <w:r>
        <w:t xml:space="preserve">the activity they relate to, </w:t>
      </w:r>
      <w:r w:rsidR="007D36F7">
        <w:t>and the type of document they are</w:t>
      </w:r>
      <w:r>
        <w:t>.</w:t>
      </w:r>
      <w:r w:rsidR="0040094B">
        <w:t xml:space="preserve">  </w:t>
      </w:r>
      <w:r w:rsidR="00B65C6A">
        <w:t>Although RGSs are organised by identifying categories and codes, s</w:t>
      </w:r>
      <w:r w:rsidR="0040094B">
        <w:t xml:space="preserve">ome standards </w:t>
      </w:r>
      <w:r w:rsidR="00B65C6A">
        <w:t>contain multidisciplinary technical and/or operational requirements, so it is advisable to refer to the standards catalogue which filters the RGSs by standards committees.</w:t>
      </w: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549"/>
        <w:gridCol w:w="5286"/>
        <w:gridCol w:w="8325"/>
      </w:tblGrid>
      <w:tr w:rsidR="006529CD" w:rsidRPr="006B2A82" w14:paraId="2EE50B3A" w14:textId="027CACA6" w:rsidTr="006B2A82">
        <w:trPr>
          <w:tblHeader/>
        </w:trPr>
        <w:tc>
          <w:tcPr>
            <w:tcW w:w="5835" w:type="dxa"/>
            <w:gridSpan w:val="2"/>
            <w:tcBorders>
              <w:top w:val="double" w:sz="4" w:space="0" w:color="0070C0"/>
              <w:left w:val="double" w:sz="4" w:space="0" w:color="0070C0"/>
            </w:tcBorders>
            <w:shd w:val="clear" w:color="auto" w:fill="DDD9C3" w:themeFill="background2" w:themeFillShade="E6"/>
          </w:tcPr>
          <w:bookmarkEnd w:id="0"/>
          <w:p w14:paraId="5FEB4DEE" w14:textId="65870B15" w:rsidR="006529CD" w:rsidRPr="006B2A82" w:rsidRDefault="00783134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Railway Group Standards d</w:t>
            </w:r>
            <w:r w:rsidR="006529CD" w:rsidRPr="006B2A82">
              <w:rPr>
                <w:rFonts w:cstheme="minorHAnsi"/>
                <w:b/>
                <w:bCs/>
              </w:rPr>
              <w:t>ocument categories</w:t>
            </w:r>
          </w:p>
        </w:tc>
        <w:tc>
          <w:tcPr>
            <w:tcW w:w="8325" w:type="dxa"/>
            <w:tcBorders>
              <w:top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DDD9C3" w:themeFill="background2" w:themeFillShade="E6"/>
          </w:tcPr>
          <w:p w14:paraId="61199E91" w14:textId="72917BD8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Category descriptions</w:t>
            </w:r>
          </w:p>
        </w:tc>
      </w:tr>
      <w:tr w:rsidR="006529CD" w:rsidRPr="006B2A82" w14:paraId="42AB8BC0" w14:textId="5E292157" w:rsidTr="006B2A82">
        <w:tc>
          <w:tcPr>
            <w:tcW w:w="549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23EC6ECA" w14:textId="2D31AA05" w:rsidR="006529CD" w:rsidRPr="006B2A82" w:rsidRDefault="0040094B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 xml:space="preserve">  </w:t>
            </w:r>
            <w:r w:rsidR="006529CD" w:rsidRPr="006B2A82">
              <w:rPr>
                <w:rFonts w:cstheme="minorHAnsi"/>
                <w:b/>
                <w:bCs/>
              </w:rPr>
              <w:t>GC</w:t>
            </w:r>
          </w:p>
        </w:tc>
        <w:tc>
          <w:tcPr>
            <w:tcW w:w="5286" w:type="dxa"/>
          </w:tcPr>
          <w:p w14:paraId="4062F022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Track and structures (infrastructure)</w:t>
            </w:r>
          </w:p>
        </w:tc>
        <w:tc>
          <w:tcPr>
            <w:tcW w:w="8325" w:type="dxa"/>
            <w:tcBorders>
              <w:top w:val="single" w:sz="4" w:space="0" w:color="auto"/>
              <w:right w:val="double" w:sz="4" w:space="0" w:color="0070C0"/>
            </w:tcBorders>
          </w:tcPr>
          <w:p w14:paraId="2EA31D66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Permanent way, structures and construction safety</w:t>
            </w:r>
          </w:p>
        </w:tc>
      </w:tr>
      <w:tr w:rsidR="006529CD" w:rsidRPr="006B2A82" w14:paraId="6C3BDE5A" w14:textId="35663082" w:rsidTr="006B2A82">
        <w:tc>
          <w:tcPr>
            <w:tcW w:w="549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4A1D1958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GE</w:t>
            </w:r>
          </w:p>
        </w:tc>
        <w:tc>
          <w:tcPr>
            <w:tcW w:w="5286" w:type="dxa"/>
          </w:tcPr>
          <w:p w14:paraId="59622194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All infrastructure manager and railway undertaking requirements</w:t>
            </w:r>
          </w:p>
        </w:tc>
        <w:tc>
          <w:tcPr>
            <w:tcW w:w="8325" w:type="dxa"/>
            <w:tcBorders>
              <w:right w:val="double" w:sz="4" w:space="0" w:color="0070C0"/>
            </w:tcBorders>
          </w:tcPr>
          <w:p w14:paraId="24AF1817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Multidisciplinary activities, including National Operations Publications (the Rule Book)</w:t>
            </w:r>
          </w:p>
        </w:tc>
      </w:tr>
      <w:tr w:rsidR="006529CD" w:rsidRPr="006B2A82" w14:paraId="4D416A11" w14:textId="6DE79393" w:rsidTr="006B2A82">
        <w:tc>
          <w:tcPr>
            <w:tcW w:w="549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4FCE2525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GI</w:t>
            </w:r>
          </w:p>
        </w:tc>
        <w:tc>
          <w:tcPr>
            <w:tcW w:w="5286" w:type="dxa"/>
          </w:tcPr>
          <w:p w14:paraId="3273DF6C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Infrastructure</w:t>
            </w:r>
          </w:p>
        </w:tc>
        <w:tc>
          <w:tcPr>
            <w:tcW w:w="8325" w:type="dxa"/>
            <w:tcBorders>
              <w:right w:val="double" w:sz="4" w:space="0" w:color="0070C0"/>
            </w:tcBorders>
          </w:tcPr>
          <w:p w14:paraId="224F0A0D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Multidisciplinary infrastructure activities</w:t>
            </w:r>
          </w:p>
        </w:tc>
      </w:tr>
      <w:tr w:rsidR="006529CD" w:rsidRPr="006B2A82" w14:paraId="12890820" w14:textId="165B636D" w:rsidTr="006B2A82">
        <w:tc>
          <w:tcPr>
            <w:tcW w:w="549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618EE3BE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GK</w:t>
            </w:r>
          </w:p>
        </w:tc>
        <w:tc>
          <w:tcPr>
            <w:tcW w:w="5286" w:type="dxa"/>
          </w:tcPr>
          <w:p w14:paraId="41C3DA7F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Train control and communications (control, command and signalling)</w:t>
            </w:r>
          </w:p>
        </w:tc>
        <w:tc>
          <w:tcPr>
            <w:tcW w:w="8325" w:type="dxa"/>
            <w:tcBorders>
              <w:right w:val="double" w:sz="4" w:space="0" w:color="0070C0"/>
            </w:tcBorders>
          </w:tcPr>
          <w:p w14:paraId="11A21840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Signalling and telecommunications</w:t>
            </w:r>
          </w:p>
        </w:tc>
      </w:tr>
      <w:tr w:rsidR="006529CD" w:rsidRPr="006B2A82" w14:paraId="63C4F11D" w14:textId="26201235" w:rsidTr="006B2A82">
        <w:tc>
          <w:tcPr>
            <w:tcW w:w="549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2E0961EF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GL</w:t>
            </w:r>
          </w:p>
        </w:tc>
        <w:tc>
          <w:tcPr>
            <w:tcW w:w="5286" w:type="dxa"/>
          </w:tcPr>
          <w:p w14:paraId="38FECB0B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Electrification (energy)</w:t>
            </w:r>
          </w:p>
        </w:tc>
        <w:tc>
          <w:tcPr>
            <w:tcW w:w="8325" w:type="dxa"/>
            <w:tcBorders>
              <w:bottom w:val="single" w:sz="4" w:space="0" w:color="auto"/>
              <w:right w:val="double" w:sz="4" w:space="0" w:color="0070C0"/>
            </w:tcBorders>
          </w:tcPr>
          <w:p w14:paraId="21C027D6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Electrification systems and electrical installations</w:t>
            </w:r>
          </w:p>
        </w:tc>
      </w:tr>
      <w:tr w:rsidR="006529CD" w:rsidRPr="006B2A82" w14:paraId="034D0CD9" w14:textId="0E589803" w:rsidTr="006B2A82">
        <w:tc>
          <w:tcPr>
            <w:tcW w:w="549" w:type="dxa"/>
            <w:tcBorders>
              <w:left w:val="double" w:sz="4" w:space="0" w:color="0070C0"/>
              <w:bottom w:val="single" w:sz="4" w:space="0" w:color="auto"/>
            </w:tcBorders>
            <w:shd w:val="clear" w:color="auto" w:fill="DDD9C3" w:themeFill="background2" w:themeFillShade="E6"/>
          </w:tcPr>
          <w:p w14:paraId="1562E477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GM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14:paraId="0DE37789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Trains (rolling stock)</w:t>
            </w:r>
          </w:p>
        </w:tc>
        <w:tc>
          <w:tcPr>
            <w:tcW w:w="8325" w:type="dxa"/>
            <w:tcBorders>
              <w:bottom w:val="single" w:sz="4" w:space="0" w:color="auto"/>
              <w:right w:val="double" w:sz="4" w:space="0" w:color="0070C0"/>
            </w:tcBorders>
          </w:tcPr>
          <w:p w14:paraId="6A6D6F20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Trains and rolling stock</w:t>
            </w:r>
          </w:p>
        </w:tc>
      </w:tr>
      <w:tr w:rsidR="006529CD" w:rsidRPr="006B2A82" w14:paraId="4ADA5583" w14:textId="769C8F1D" w:rsidTr="006B2A82">
        <w:tc>
          <w:tcPr>
            <w:tcW w:w="549" w:type="dxa"/>
            <w:tcBorders>
              <w:left w:val="double" w:sz="4" w:space="0" w:color="0070C0"/>
              <w:bottom w:val="double" w:sz="4" w:space="0" w:color="auto"/>
            </w:tcBorders>
            <w:shd w:val="clear" w:color="auto" w:fill="DDD9C3" w:themeFill="background2" w:themeFillShade="E6"/>
          </w:tcPr>
          <w:p w14:paraId="3DF29BBA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GO</w:t>
            </w:r>
          </w:p>
        </w:tc>
        <w:tc>
          <w:tcPr>
            <w:tcW w:w="5286" w:type="dxa"/>
            <w:tcBorders>
              <w:bottom w:val="double" w:sz="4" w:space="0" w:color="0070C0"/>
            </w:tcBorders>
          </w:tcPr>
          <w:p w14:paraId="1F4CFF93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Operations (traffic operation and management)</w:t>
            </w:r>
          </w:p>
        </w:tc>
        <w:tc>
          <w:tcPr>
            <w:tcW w:w="8325" w:type="dxa"/>
            <w:tcBorders>
              <w:bottom w:val="double" w:sz="4" w:space="0" w:color="0070C0"/>
              <w:right w:val="double" w:sz="4" w:space="0" w:color="0070C0"/>
            </w:tcBorders>
          </w:tcPr>
          <w:p w14:paraId="67F55C14" w14:textId="77777777" w:rsidR="006529CD" w:rsidRPr="006B2A82" w:rsidRDefault="006529CD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Operations, operational signalling, special operations such as the acceptance and carriage of dangerous goods, and safety-critical activities</w:t>
            </w:r>
          </w:p>
        </w:tc>
      </w:tr>
    </w:tbl>
    <w:p w14:paraId="670E3DC8" w14:textId="77777777" w:rsidR="006529CD" w:rsidRDefault="006529CD" w:rsidP="00600933">
      <w:pPr>
        <w:pStyle w:val="Body"/>
      </w:pP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1119"/>
        <w:gridCol w:w="4678"/>
        <w:gridCol w:w="8363"/>
      </w:tblGrid>
      <w:tr w:rsidR="00F82199" w:rsidRPr="006B2A82" w14:paraId="2B9C0815" w14:textId="77777777" w:rsidTr="006B2A82">
        <w:trPr>
          <w:tblHeader/>
        </w:trPr>
        <w:tc>
          <w:tcPr>
            <w:tcW w:w="5797" w:type="dxa"/>
            <w:gridSpan w:val="2"/>
            <w:tcBorders>
              <w:top w:val="double" w:sz="4" w:space="0" w:color="0070C0"/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13539381" w14:textId="77777777" w:rsidR="00F82199" w:rsidRPr="006B2A82" w:rsidRDefault="00F82199" w:rsidP="00F07E1C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Document identification codes</w:t>
            </w:r>
          </w:p>
        </w:tc>
        <w:tc>
          <w:tcPr>
            <w:tcW w:w="8363" w:type="dxa"/>
            <w:tcBorders>
              <w:top w:val="double" w:sz="4" w:space="0" w:color="0070C0"/>
              <w:left w:val="single" w:sz="4" w:space="0" w:color="auto"/>
              <w:right w:val="double" w:sz="4" w:space="0" w:color="4F81BD" w:themeColor="accent1"/>
            </w:tcBorders>
            <w:shd w:val="clear" w:color="auto" w:fill="DDD9C3" w:themeFill="background2" w:themeFillShade="E6"/>
          </w:tcPr>
          <w:p w14:paraId="084E7DCE" w14:textId="77777777" w:rsidR="00F82199" w:rsidRPr="006B2A82" w:rsidRDefault="00F82199" w:rsidP="00F07E1C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Code identification descriptions</w:t>
            </w:r>
          </w:p>
        </w:tc>
      </w:tr>
      <w:tr w:rsidR="00F82199" w:rsidRPr="006B2A82" w14:paraId="71987C9E" w14:textId="77777777" w:rsidTr="006B2A82">
        <w:tc>
          <w:tcPr>
            <w:tcW w:w="1119" w:type="dxa"/>
            <w:tcBorders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793B07BB" w14:textId="77777777" w:rsidR="00F82199" w:rsidRPr="006B2A82" w:rsidRDefault="00F82199" w:rsidP="00F07E1C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RT</w:t>
            </w:r>
          </w:p>
          <w:p w14:paraId="5D90A363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BR</w:t>
            </w:r>
          </w:p>
          <w:p w14:paraId="1BEED770" w14:textId="10D8FEA2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OTS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4CB93F1" w14:textId="32E1DC7D" w:rsidR="00F82199" w:rsidRPr="006B2A82" w:rsidRDefault="00F82199" w:rsidP="00F07E1C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Railway Group Standard</w:t>
            </w:r>
            <w:r w:rsidR="001B4CB6" w:rsidRPr="006B2A82">
              <w:rPr>
                <w:rFonts w:cstheme="minorHAnsi"/>
              </w:rPr>
              <w:t xml:space="preserve"> (RGS)</w:t>
            </w:r>
          </w:p>
        </w:tc>
        <w:tc>
          <w:tcPr>
            <w:tcW w:w="8363" w:type="dxa"/>
            <w:tcBorders>
              <w:left w:val="single" w:sz="4" w:space="0" w:color="auto"/>
              <w:right w:val="double" w:sz="4" w:space="0" w:color="4F81BD" w:themeColor="accent1"/>
            </w:tcBorders>
          </w:tcPr>
          <w:p w14:paraId="495781E5" w14:textId="77777777" w:rsidR="00F82199" w:rsidRPr="006B2A82" w:rsidRDefault="001B4CB6" w:rsidP="00D33D2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 xml:space="preserve">RGSs </w:t>
            </w:r>
            <w:r w:rsidR="00F82199" w:rsidRPr="006B2A82">
              <w:rPr>
                <w:rFonts w:cstheme="minorHAnsi"/>
              </w:rPr>
              <w:t xml:space="preserve">define mandatory requirements in respect of the mainline railway system.  RGSs contain national rules applicable to the mainline railway system. </w:t>
            </w:r>
          </w:p>
          <w:p w14:paraId="6B52E344" w14:textId="77777777" w:rsidR="001B4CB6" w:rsidRPr="006B2A82" w:rsidRDefault="001B4CB6" w:rsidP="00D33D26">
            <w:pPr>
              <w:pStyle w:val="Body"/>
              <w:spacing w:after="0" w:line="240" w:lineRule="auto"/>
              <w:rPr>
                <w:rFonts w:cstheme="minorHAnsi"/>
              </w:rPr>
            </w:pPr>
          </w:p>
          <w:p w14:paraId="00F75D7F" w14:textId="542F7FBA" w:rsidR="001B4CB6" w:rsidRPr="006B2A82" w:rsidRDefault="001B4CB6" w:rsidP="00D33D2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BR and OTS are legacy British Rail standards.</w:t>
            </w:r>
          </w:p>
        </w:tc>
      </w:tr>
      <w:tr w:rsidR="001B4CB6" w:rsidRPr="006B2A82" w14:paraId="26E523E9" w14:textId="77777777" w:rsidTr="006B2A82">
        <w:tc>
          <w:tcPr>
            <w:tcW w:w="1119" w:type="dxa"/>
            <w:tcBorders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01F1BE1A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RIS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21692EF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Rail Industry Standard (RIS)</w:t>
            </w:r>
          </w:p>
        </w:tc>
        <w:tc>
          <w:tcPr>
            <w:tcW w:w="8363" w:type="dxa"/>
            <w:tcBorders>
              <w:left w:val="single" w:sz="4" w:space="0" w:color="auto"/>
              <w:right w:val="double" w:sz="4" w:space="0" w:color="4F81BD" w:themeColor="accent1"/>
            </w:tcBorders>
          </w:tcPr>
          <w:p w14:paraId="1EFD78AC" w14:textId="3FBAE708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RISs define functional or technical requirements that may be used in circumstances where management of a railway subsystem does not necessitate the use of a RGS.  The last three letter acronym represents the approving standards committee).</w:t>
            </w:r>
          </w:p>
        </w:tc>
      </w:tr>
      <w:tr w:rsidR="001B4CB6" w:rsidRPr="006B2A82" w14:paraId="3F6B442E" w14:textId="77777777" w:rsidTr="006B2A82">
        <w:tc>
          <w:tcPr>
            <w:tcW w:w="1119" w:type="dxa"/>
            <w:tcBorders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5C1D7A62" w14:textId="34CB5F8B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RC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1ECDE36" w14:textId="791D2C63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Rail Industry Approved Code of Practice (RACoP)</w:t>
            </w:r>
          </w:p>
        </w:tc>
        <w:tc>
          <w:tcPr>
            <w:tcW w:w="8363" w:type="dxa"/>
            <w:tcBorders>
              <w:left w:val="single" w:sz="4" w:space="0" w:color="auto"/>
              <w:right w:val="double" w:sz="4" w:space="0" w:color="4F81BD" w:themeColor="accent1"/>
            </w:tcBorders>
          </w:tcPr>
          <w:p w14:paraId="2715AAF0" w14:textId="6F3CCA72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RACoPs define a potentially suitable and sufficient means (but not the only means) of meeting an identified set of mandatory requirements within a RGS.</w:t>
            </w:r>
          </w:p>
        </w:tc>
      </w:tr>
      <w:tr w:rsidR="001B4CB6" w:rsidRPr="006B2A82" w14:paraId="60097DED" w14:textId="77777777" w:rsidTr="006B2A82">
        <w:tc>
          <w:tcPr>
            <w:tcW w:w="1119" w:type="dxa"/>
            <w:tcBorders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3F9F568B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GN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EC7F57A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Rail Industry Guidance Note (GN)</w:t>
            </w:r>
          </w:p>
        </w:tc>
        <w:tc>
          <w:tcPr>
            <w:tcW w:w="8363" w:type="dxa"/>
            <w:tcBorders>
              <w:left w:val="single" w:sz="4" w:space="0" w:color="auto"/>
              <w:right w:val="double" w:sz="4" w:space="0" w:color="4F81BD" w:themeColor="accent1"/>
            </w:tcBorders>
          </w:tcPr>
          <w:p w14:paraId="38212123" w14:textId="6372821A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GNs provide potentially helpful information relating to the management and/or operation of the railway system or its subsystems</w:t>
            </w:r>
          </w:p>
        </w:tc>
      </w:tr>
      <w:tr w:rsidR="001B4CB6" w:rsidRPr="006B2A82" w14:paraId="7D8146DB" w14:textId="77777777" w:rsidTr="006B2A82">
        <w:tc>
          <w:tcPr>
            <w:tcW w:w="1119" w:type="dxa"/>
            <w:tcBorders>
              <w:left w:val="double" w:sz="4" w:space="0" w:color="0070C0"/>
              <w:right w:val="single" w:sz="4" w:space="0" w:color="auto"/>
            </w:tcBorders>
            <w:shd w:val="clear" w:color="auto" w:fill="DDD9C3" w:themeFill="background2" w:themeFillShade="E6"/>
          </w:tcPr>
          <w:p w14:paraId="6730CB35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RM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F7D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Rail Manual (RM)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double" w:sz="4" w:space="0" w:color="4F81BD" w:themeColor="accent1"/>
            </w:tcBorders>
          </w:tcPr>
          <w:p w14:paraId="08BD8315" w14:textId="77777777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RMs contain functional requirements in respect of the operational railway</w:t>
            </w:r>
          </w:p>
        </w:tc>
      </w:tr>
      <w:tr w:rsidR="001B4CB6" w:rsidRPr="006B2A82" w14:paraId="7985430D" w14:textId="77777777" w:rsidTr="006B2A82">
        <w:tc>
          <w:tcPr>
            <w:tcW w:w="1119" w:type="dxa"/>
            <w:tcBorders>
              <w:left w:val="double" w:sz="4" w:space="0" w:color="0070C0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7BAEDA" w14:textId="00DA6497" w:rsidR="001B4CB6" w:rsidRPr="006B2A82" w:rsidRDefault="001B4CB6" w:rsidP="00B65C6A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GPG or RS</w:t>
            </w:r>
          </w:p>
        </w:tc>
        <w:tc>
          <w:tcPr>
            <w:tcW w:w="4678" w:type="dxa"/>
            <w:tcBorders>
              <w:left w:val="single" w:sz="4" w:space="0" w:color="auto"/>
              <w:bottom w:val="double" w:sz="4" w:space="0" w:color="0070C0"/>
              <w:right w:val="single" w:sz="4" w:space="0" w:color="auto"/>
            </w:tcBorders>
          </w:tcPr>
          <w:p w14:paraId="5AEFB244" w14:textId="7B67E328" w:rsidR="001B4CB6" w:rsidRPr="006B2A82" w:rsidRDefault="001B4CB6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Good Practice Guide</w:t>
            </w:r>
          </w:p>
        </w:tc>
        <w:tc>
          <w:tcPr>
            <w:tcW w:w="8363" w:type="dxa"/>
            <w:tcBorders>
              <w:left w:val="single" w:sz="4" w:space="0" w:color="auto"/>
              <w:bottom w:val="double" w:sz="4" w:space="0" w:color="0070C0"/>
              <w:right w:val="double" w:sz="4" w:space="0" w:color="4F81BD" w:themeColor="accent1"/>
            </w:tcBorders>
          </w:tcPr>
          <w:p w14:paraId="3896C913" w14:textId="61A47F3D" w:rsidR="001B4CB6" w:rsidRPr="006B2A82" w:rsidRDefault="00F80101" w:rsidP="001B4CB6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GPGs or RSs provide recognised good practice for use by railway undertakings.  These complement engineering and operational matters.</w:t>
            </w:r>
          </w:p>
        </w:tc>
      </w:tr>
    </w:tbl>
    <w:p w14:paraId="1DF9CDA9" w14:textId="77777777" w:rsidR="006529CD" w:rsidRDefault="006529CD" w:rsidP="00600933">
      <w:pPr>
        <w:pStyle w:val="Body"/>
      </w:pPr>
    </w:p>
    <w:p w14:paraId="15137DC3" w14:textId="3BCE9029" w:rsidR="006529CD" w:rsidRDefault="006B2A82" w:rsidP="006B2A82">
      <w:pPr>
        <w:pStyle w:val="Body"/>
        <w:tabs>
          <w:tab w:val="left" w:pos="4300"/>
        </w:tabs>
      </w:pPr>
      <w:r>
        <w:lastRenderedPageBreak/>
        <w:tab/>
      </w:r>
    </w:p>
    <w:p w14:paraId="3A2D5FA5" w14:textId="3E15A839" w:rsidR="001C42CD" w:rsidRDefault="003940E8" w:rsidP="00600933">
      <w:pPr>
        <w:pStyle w:val="Body"/>
      </w:pPr>
      <w:r>
        <w:t>National Operations Publications</w:t>
      </w:r>
      <w:r w:rsidR="00D33D26">
        <w:t xml:space="preserve"> (NOPs) define instructions for direct application by staff employed by transport operators.  NOPs include the </w:t>
      </w:r>
      <w:r w:rsidR="001C42CD">
        <w:t xml:space="preserve">Rule Book </w:t>
      </w:r>
      <w:r w:rsidR="00D33D26">
        <w:t xml:space="preserve">Working Manuals, </w:t>
      </w:r>
      <w:r w:rsidR="001C42CD">
        <w:t>Modules and Handbooks</w:t>
      </w:r>
      <w:r>
        <w:t>)</w:t>
      </w:r>
      <w:r w:rsidR="00D33D26">
        <w:t>.  NOPs are</w:t>
      </w:r>
      <w:r w:rsidR="001C42CD">
        <w:t xml:space="preserve"> defined by </w:t>
      </w:r>
      <w:r w:rsidR="00F82199">
        <w:t xml:space="preserve">the following </w:t>
      </w:r>
      <w:r w:rsidR="001C42CD">
        <w:t>identification codes.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59"/>
        <w:gridCol w:w="6804"/>
      </w:tblGrid>
      <w:tr w:rsidR="003940E8" w:rsidRPr="006B2A82" w14:paraId="33D49B29" w14:textId="77777777" w:rsidTr="006B2A82">
        <w:tc>
          <w:tcPr>
            <w:tcW w:w="3104" w:type="dxa"/>
            <w:gridSpan w:val="2"/>
            <w:tcBorders>
              <w:top w:val="double" w:sz="4" w:space="0" w:color="0070C0"/>
              <w:left w:val="double" w:sz="4" w:space="0" w:color="0070C0"/>
            </w:tcBorders>
            <w:shd w:val="clear" w:color="auto" w:fill="DDD9C3" w:themeFill="background2" w:themeFillShade="E6"/>
          </w:tcPr>
          <w:p w14:paraId="72628330" w14:textId="78027067" w:rsidR="003940E8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bookmarkStart w:id="1" w:name="_GoBack"/>
            <w:bookmarkEnd w:id="1"/>
            <w:r w:rsidRPr="006B2A82">
              <w:rPr>
                <w:rFonts w:cstheme="minorHAnsi"/>
                <w:b/>
                <w:bCs/>
              </w:rPr>
              <w:t>Rule Book types</w:t>
            </w:r>
            <w:r w:rsidR="00B65C6A" w:rsidRPr="006B2A82">
              <w:rPr>
                <w:rFonts w:cstheme="minorHAnsi"/>
                <w:b/>
                <w:bCs/>
              </w:rPr>
              <w:t xml:space="preserve"> – GERT8000</w:t>
            </w:r>
          </w:p>
        </w:tc>
        <w:tc>
          <w:tcPr>
            <w:tcW w:w="6804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DDD9C3" w:themeFill="background2" w:themeFillShade="E6"/>
          </w:tcPr>
          <w:p w14:paraId="484FAE0A" w14:textId="4583B1AD" w:rsidR="003940E8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Areas of activity</w:t>
            </w:r>
          </w:p>
        </w:tc>
      </w:tr>
      <w:tr w:rsidR="003940E8" w:rsidRPr="006B2A82" w14:paraId="043D3CEC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45BD9FF6" w14:textId="407F33A7" w:rsidR="003940E8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Modules</w:t>
            </w:r>
          </w:p>
        </w:tc>
        <w:tc>
          <w:tcPr>
            <w:tcW w:w="1559" w:type="dxa"/>
          </w:tcPr>
          <w:p w14:paraId="10D50ED3" w14:textId="4B2BD195" w:rsidR="003940E8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AC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58A670AB" w14:textId="6F09D6CF" w:rsidR="003940E8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AC electrified lines</w:t>
            </w:r>
          </w:p>
        </w:tc>
      </w:tr>
      <w:tr w:rsidR="001C42CD" w:rsidRPr="006B2A82" w14:paraId="2DED8047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0D30F613" w14:textId="77777777" w:rsidR="001C42CD" w:rsidRPr="006B2A82" w:rsidRDefault="001C42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2A5CF94A" w14:textId="266041D0" w:rsidR="001C42CD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DC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4BD4632D" w14:textId="459CEFC8" w:rsidR="001C42CD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DC electrified lines</w:t>
            </w:r>
          </w:p>
        </w:tc>
      </w:tr>
      <w:tr w:rsidR="001C42CD" w:rsidRPr="006B2A82" w14:paraId="0ADB1A75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0B5EEFD9" w14:textId="77777777" w:rsidR="001C42CD" w:rsidRPr="006B2A82" w:rsidRDefault="001C42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54241952" w14:textId="362FAB38" w:rsidR="001C42CD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G1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07EC2F31" w14:textId="20FFC5A5" w:rsidR="001C42CD" w:rsidRPr="006B2A82" w:rsidRDefault="003940E8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Personal safety and general responsibilities</w:t>
            </w:r>
          </w:p>
        </w:tc>
      </w:tr>
      <w:tr w:rsidR="001C42CD" w:rsidRPr="006B2A82" w14:paraId="68BBAFD7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1292C210" w14:textId="77777777" w:rsidR="001C42CD" w:rsidRPr="006B2A82" w:rsidRDefault="001C42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232BA533" w14:textId="16DB95B7" w:rsidR="001C42CD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GSM-R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5C6D50A5" w14:textId="4B29FE73" w:rsidR="001C42CD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Global systems for mobile communications</w:t>
            </w:r>
          </w:p>
        </w:tc>
      </w:tr>
      <w:tr w:rsidR="001C42CD" w:rsidRPr="006B2A82" w14:paraId="6891EF63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0355CC83" w14:textId="77777777" w:rsidR="001C42CD" w:rsidRPr="006B2A82" w:rsidRDefault="001C42CD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0D93654E" w14:textId="79746C65" w:rsidR="001C42CD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Index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6AA21F26" w14:textId="56D22EB6" w:rsidR="001C42CD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Glossary of railway terminology</w:t>
            </w:r>
          </w:p>
        </w:tc>
      </w:tr>
      <w:tr w:rsidR="00472F1A" w:rsidRPr="006B2A82" w14:paraId="0512522F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3654C2FB" w14:textId="77777777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CC8F2AB" w14:textId="1D0A490A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M1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74128201" w14:textId="1F27F892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Mishaps, incidents and extreme weather</w:t>
            </w:r>
          </w:p>
        </w:tc>
      </w:tr>
      <w:tr w:rsidR="00472F1A" w:rsidRPr="006B2A82" w14:paraId="3BA1E11B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0454BDE7" w14:textId="77777777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4205EE1B" w14:textId="0D8685FD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OTP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788C5B92" w14:textId="4EE439A6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On track plant</w:t>
            </w:r>
          </w:p>
        </w:tc>
      </w:tr>
      <w:tr w:rsidR="00472F1A" w:rsidRPr="006B2A82" w14:paraId="74987654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5A19A274" w14:textId="77777777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247A262B" w14:textId="0AA326E7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OTM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7D16F3EB" w14:textId="23C30FD4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On track machines</w:t>
            </w:r>
          </w:p>
        </w:tc>
      </w:tr>
      <w:tr w:rsidR="00472F1A" w:rsidRPr="006B2A82" w14:paraId="0284E825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3835802D" w14:textId="77777777" w:rsidR="00472F1A" w:rsidRPr="006B2A82" w:rsidRDefault="00472F1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7783097F" w14:textId="380C4E3B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P1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79105474" w14:textId="291AE18D" w:rsidR="00472F1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Working by pilotman</w:t>
            </w:r>
          </w:p>
        </w:tc>
      </w:tr>
      <w:tr w:rsidR="0026564A" w:rsidRPr="006B2A82" w14:paraId="5104FB5C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279DA93B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6720BA1" w14:textId="7B940072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PoSA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40351F77" w14:textId="78DCFBF1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Proceed on sight authority</w:t>
            </w:r>
          </w:p>
        </w:tc>
      </w:tr>
      <w:tr w:rsidR="0026564A" w:rsidRPr="006B2A82" w14:paraId="537995E3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3EBE41E4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23F2A544" w14:textId="04D66A13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S4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2EBAE896" w14:textId="48959AF3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Signals</w:t>
            </w:r>
          </w:p>
        </w:tc>
      </w:tr>
      <w:tr w:rsidR="0026564A" w:rsidRPr="006B2A82" w14:paraId="388523AD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5897AC74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4DBFC89D" w14:textId="166B0F1E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SP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51800D25" w14:textId="5FC02326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Permissible speeds and speed restrictions</w:t>
            </w:r>
          </w:p>
        </w:tc>
      </w:tr>
      <w:tr w:rsidR="0026564A" w:rsidRPr="006B2A82" w14:paraId="57BC9885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076A9B55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1FD5D10A" w14:textId="56FF56F8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SS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68C13935" w14:textId="44D5D688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Station working and shunting</w:t>
            </w:r>
          </w:p>
        </w:tc>
      </w:tr>
      <w:tr w:rsidR="0026564A" w:rsidRPr="006B2A82" w14:paraId="15EFD5CD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2CCA6468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6B7AB5E8" w14:textId="70D0264B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T3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5DA17419" w14:textId="140BB698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Track and signalling work</w:t>
            </w:r>
          </w:p>
        </w:tc>
      </w:tr>
      <w:tr w:rsidR="0026564A" w:rsidRPr="006B2A82" w14:paraId="0E986FF7" w14:textId="77777777" w:rsidTr="006B2A82">
        <w:tc>
          <w:tcPr>
            <w:tcW w:w="1545" w:type="dxa"/>
            <w:tcBorders>
              <w:left w:val="double" w:sz="4" w:space="0" w:color="0070C0"/>
            </w:tcBorders>
            <w:shd w:val="clear" w:color="auto" w:fill="DDD9C3" w:themeFill="background2" w:themeFillShade="E6"/>
          </w:tcPr>
          <w:p w14:paraId="2EF01A35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4C2A2FE8" w14:textId="5EE8B516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TS1</w:t>
            </w:r>
          </w:p>
        </w:tc>
        <w:tc>
          <w:tcPr>
            <w:tcW w:w="6804" w:type="dxa"/>
            <w:tcBorders>
              <w:right w:val="double" w:sz="4" w:space="0" w:color="0070C0"/>
            </w:tcBorders>
          </w:tcPr>
          <w:p w14:paraId="097CAA28" w14:textId="0A1F67AB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Train signalling</w:t>
            </w:r>
          </w:p>
        </w:tc>
      </w:tr>
      <w:tr w:rsidR="0026564A" w:rsidRPr="006B2A82" w14:paraId="1B8E7CA0" w14:textId="77777777" w:rsidTr="006B2A82">
        <w:tc>
          <w:tcPr>
            <w:tcW w:w="1545" w:type="dxa"/>
            <w:tcBorders>
              <w:left w:val="double" w:sz="4" w:space="0" w:color="0070C0"/>
              <w:bottom w:val="single" w:sz="4" w:space="0" w:color="auto"/>
            </w:tcBorders>
            <w:shd w:val="clear" w:color="auto" w:fill="DDD9C3" w:themeFill="background2" w:themeFillShade="E6"/>
          </w:tcPr>
          <w:p w14:paraId="21AEAB81" w14:textId="7777777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62BD6" w14:textId="75D5F64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TW5</w:t>
            </w:r>
          </w:p>
        </w:tc>
        <w:tc>
          <w:tcPr>
            <w:tcW w:w="6804" w:type="dxa"/>
            <w:tcBorders>
              <w:bottom w:val="single" w:sz="4" w:space="0" w:color="auto"/>
              <w:right w:val="double" w:sz="4" w:space="0" w:color="0070C0"/>
            </w:tcBorders>
          </w:tcPr>
          <w:p w14:paraId="32FC7E85" w14:textId="53EE60EE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Train working</w:t>
            </w:r>
          </w:p>
        </w:tc>
      </w:tr>
      <w:tr w:rsidR="0026564A" w:rsidRPr="006B2A82" w14:paraId="73602235" w14:textId="77777777" w:rsidTr="006B2A82">
        <w:tc>
          <w:tcPr>
            <w:tcW w:w="1545" w:type="dxa"/>
            <w:tcBorders>
              <w:left w:val="double" w:sz="4" w:space="0" w:color="0070C0"/>
              <w:bottom w:val="double" w:sz="4" w:space="0" w:color="0070C0"/>
            </w:tcBorders>
            <w:shd w:val="clear" w:color="auto" w:fill="DDD9C3" w:themeFill="background2" w:themeFillShade="E6"/>
          </w:tcPr>
          <w:p w14:paraId="1D9D7C47" w14:textId="058527E7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  <w:b/>
                <w:bCs/>
              </w:rPr>
            </w:pPr>
            <w:r w:rsidRPr="006B2A82">
              <w:rPr>
                <w:rFonts w:cstheme="minorHAnsi"/>
                <w:b/>
                <w:bCs/>
              </w:rPr>
              <w:t>Handbook</w:t>
            </w:r>
          </w:p>
        </w:tc>
        <w:tc>
          <w:tcPr>
            <w:tcW w:w="1559" w:type="dxa"/>
            <w:tcBorders>
              <w:bottom w:val="double" w:sz="4" w:space="0" w:color="0070C0"/>
            </w:tcBorders>
          </w:tcPr>
          <w:p w14:paraId="3DB56ECF" w14:textId="089CECB3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HB12</w:t>
            </w:r>
          </w:p>
        </w:tc>
        <w:tc>
          <w:tcPr>
            <w:tcW w:w="6804" w:type="dxa"/>
            <w:tcBorders>
              <w:bottom w:val="double" w:sz="4" w:space="0" w:color="0070C0"/>
              <w:right w:val="double" w:sz="4" w:space="0" w:color="0070C0"/>
            </w:tcBorders>
          </w:tcPr>
          <w:p w14:paraId="7468CBD2" w14:textId="56BFFB7F" w:rsidR="0026564A" w:rsidRPr="006B2A82" w:rsidRDefault="0026564A" w:rsidP="00257CED">
            <w:pPr>
              <w:pStyle w:val="Body"/>
              <w:spacing w:after="0" w:line="240" w:lineRule="auto"/>
              <w:rPr>
                <w:rFonts w:cstheme="minorHAnsi"/>
              </w:rPr>
            </w:pPr>
            <w:r w:rsidRPr="006B2A82">
              <w:rPr>
                <w:rFonts w:cstheme="minorHAnsi"/>
              </w:rPr>
              <w:t>Handbooks for occupational activities of railway personnel</w:t>
            </w:r>
          </w:p>
        </w:tc>
      </w:tr>
    </w:tbl>
    <w:p w14:paraId="7A71B157" w14:textId="74B100AB" w:rsidR="001C42CD" w:rsidRDefault="001C42CD" w:rsidP="00600933">
      <w:pPr>
        <w:pStyle w:val="Body"/>
      </w:pPr>
    </w:p>
    <w:p w14:paraId="0055026F" w14:textId="4E172282" w:rsidR="0026564A" w:rsidRDefault="0026564A" w:rsidP="00600933">
      <w:pPr>
        <w:pStyle w:val="Body"/>
      </w:pPr>
    </w:p>
    <w:sectPr w:rsidR="0026564A" w:rsidSect="0023719B">
      <w:footerReference w:type="default" r:id="rId7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D4FD" w14:textId="77777777" w:rsidR="006B2A82" w:rsidRDefault="006B2A82" w:rsidP="006B2A82">
      <w:pPr>
        <w:spacing w:after="0" w:line="240" w:lineRule="auto"/>
      </w:pPr>
      <w:r>
        <w:separator/>
      </w:r>
    </w:p>
  </w:endnote>
  <w:endnote w:type="continuationSeparator" w:id="0">
    <w:p w14:paraId="32F0AEC6" w14:textId="77777777" w:rsidR="006B2A82" w:rsidRDefault="006B2A82" w:rsidP="006B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182F" w14:textId="24914459" w:rsidR="006B2A82" w:rsidRPr="006B2A82" w:rsidRDefault="006B2A82">
    <w:pPr>
      <w:pStyle w:val="Footer"/>
      <w:rPr>
        <w:sz w:val="20"/>
        <w:szCs w:val="20"/>
      </w:rPr>
    </w:pPr>
    <w:r w:rsidRPr="006B2A82">
      <w:rPr>
        <w:sz w:val="20"/>
        <w:szCs w:val="20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C6B5" w14:textId="77777777" w:rsidR="006B2A82" w:rsidRDefault="006B2A82" w:rsidP="006B2A82">
      <w:pPr>
        <w:spacing w:after="0" w:line="240" w:lineRule="auto"/>
      </w:pPr>
      <w:r>
        <w:separator/>
      </w:r>
    </w:p>
  </w:footnote>
  <w:footnote w:type="continuationSeparator" w:id="0">
    <w:p w14:paraId="205513EC" w14:textId="77777777" w:rsidR="006B2A82" w:rsidRDefault="006B2A82" w:rsidP="006B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7A473E9"/>
    <w:multiLevelType w:val="hybridMultilevel"/>
    <w:tmpl w:val="E58AA344"/>
    <w:lvl w:ilvl="0" w:tplc="08921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AA5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43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44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E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89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D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04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EC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33"/>
    <w:rsid w:val="00052B7B"/>
    <w:rsid w:val="00057E5F"/>
    <w:rsid w:val="00160B7C"/>
    <w:rsid w:val="0019568E"/>
    <w:rsid w:val="001B4CB6"/>
    <w:rsid w:val="001C42CD"/>
    <w:rsid w:val="002160C7"/>
    <w:rsid w:val="0023719B"/>
    <w:rsid w:val="00257CED"/>
    <w:rsid w:val="0026564A"/>
    <w:rsid w:val="002B3F83"/>
    <w:rsid w:val="002D3DEC"/>
    <w:rsid w:val="00361B33"/>
    <w:rsid w:val="0037021B"/>
    <w:rsid w:val="003940E8"/>
    <w:rsid w:val="003E6C6D"/>
    <w:rsid w:val="0040094B"/>
    <w:rsid w:val="00400955"/>
    <w:rsid w:val="00472F1A"/>
    <w:rsid w:val="004D07C3"/>
    <w:rsid w:val="004D7D9D"/>
    <w:rsid w:val="005216D6"/>
    <w:rsid w:val="00600933"/>
    <w:rsid w:val="006529CD"/>
    <w:rsid w:val="006678D0"/>
    <w:rsid w:val="006B2A82"/>
    <w:rsid w:val="006C2F96"/>
    <w:rsid w:val="006F22C0"/>
    <w:rsid w:val="00783134"/>
    <w:rsid w:val="007D36F7"/>
    <w:rsid w:val="00836C6A"/>
    <w:rsid w:val="008806AC"/>
    <w:rsid w:val="00884CA4"/>
    <w:rsid w:val="00894A7B"/>
    <w:rsid w:val="008D712D"/>
    <w:rsid w:val="00992919"/>
    <w:rsid w:val="00A410BB"/>
    <w:rsid w:val="00A44F71"/>
    <w:rsid w:val="00B25E3D"/>
    <w:rsid w:val="00B65C6A"/>
    <w:rsid w:val="00B7501C"/>
    <w:rsid w:val="00CB648C"/>
    <w:rsid w:val="00D33D26"/>
    <w:rsid w:val="00D36254"/>
    <w:rsid w:val="00D4482C"/>
    <w:rsid w:val="00E06E06"/>
    <w:rsid w:val="00EA7946"/>
    <w:rsid w:val="00F45CAE"/>
    <w:rsid w:val="00F80101"/>
    <w:rsid w:val="00F82199"/>
    <w:rsid w:val="00F83ED4"/>
    <w:rsid w:val="00FB5948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975"/>
  <w15:chartTrackingRefBased/>
  <w15:docId w15:val="{C5288A2C-249F-4ADE-8131-21AE4C77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E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3E6C6D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qFormat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404040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82"/>
  </w:style>
  <w:style w:type="paragraph" w:styleId="Footer">
    <w:name w:val="footer"/>
    <w:basedOn w:val="Normal"/>
    <w:link w:val="FooterChar"/>
    <w:uiPriority w:val="99"/>
    <w:unhideWhenUsed/>
    <w:rsid w:val="006B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Pitter</dc:creator>
  <cp:keywords/>
  <dc:description/>
  <cp:lastModifiedBy>Gillian Pitter</cp:lastModifiedBy>
  <cp:revision>4</cp:revision>
  <dcterms:created xsi:type="dcterms:W3CDTF">2020-11-02T09:19:00Z</dcterms:created>
  <dcterms:modified xsi:type="dcterms:W3CDTF">2020-11-02T10:55:00Z</dcterms:modified>
</cp:coreProperties>
</file>